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221</w:t>
      </w:r>
    </w:p>
    <w:p>
      <w:r>
        <w:t>Bundesgericht (BGE), 2014-10-07, FR</w:t>
      </w:r>
    </w:p>
    <w:p>
      <w:r>
        <w:rPr>
          <w:b/>
        </w:rPr>
        <w:t xml:space="preserve">Quelle: </w:t>
      </w:r>
      <w:r>
        <w:t>https://mcp.opencaselaw.ch/entscheid/bge_145 III 221</w:t>
      </w:r>
    </w:p>
    <w:p>
      <w:r>
        <w:t>FR: ATF 145 III 221</w:t>
      </w:r>
    </w:p>
    <w:p>
      <w:r>
        <w:t>IT: DTF 145 III 221</w:t>
      </w:r>
    </w:p>
    <w:p>
      <w:pPr>
        <w:pStyle w:val="Heading2"/>
      </w:pPr>
      <w:r>
        <w:t>Regeste</w:t>
      </w:r>
    </w:p>
    <w:p>
      <w:r>
        <w:t>Regeste Art. 274 Abs. 2 SchKG; Inhalt des Arrestbefehls; Hinweis auf ein Solidarschuldverhältnis. Der Arrestbefehl hat keine Angaben über die Existenz eines Solidarschuldverhältnisses zu enthalten (E. 5.3).</w:t>
      </w:r>
    </w:p>
    <w:p>
      <w:pPr>
        <w:pStyle w:val="Heading2"/>
      </w:pPr>
      <w:r>
        <w:t>Erwägungen</w:t>
      </w:r>
    </w:p>
    <w:p>
      <w:r>
        <w:rPr>
          <w:b/>
        </w:rPr>
        <w:t>E. 5</w:t>
      </w:r>
    </w:p>
    <w:p>
      <w:r>
        <w:t>(...)</w:t>
      </w:r>
    </w:p>
    <w:p>
      <w:r>
        <w:rPr>
          <w:b/>
        </w:rPr>
        <w:t>E. 5.3</w:t>
      </w:r>
    </w:p>
    <w:p>
      <w:r>
        <w:t>En l'espèce, la question est de savoir si l'ordonnance de séquestre doit mentionner que le débiteur répond de la dette à titre solidaire. Selon l' art. 274 al. 2 LP , l'ordonnance de séquestre doit énoncer le nom et le domicile du créancier, de son représentant, le cas échéant, et du débiteur (ch. 1), la créance pour laquelle le séquestre est opéré (ch. 2), le cas de séquestre (ch. 3), les objets à séquestrer (ch. 4) et la mention que le créancier répond du dommage et l'indication des sûretés à fournir (ch. 5). Les mentions découlant plus particulièrement de l' art. 274 al. 2 ch. 2 LP comprennent notamment le montant de la créance, les intérêts ainsi que toutes les autres informations nécessaires pour que l'office puisse exécuter le séquestre et le débiteur identifier la créance à réception du procès-verbal de séquestre (STOFFEL/CHABLOZ, in Commentaire romand, Poursuite et faillite, 2005, n os 4 et 7 ad art. 274 LP ; STOFFEL, in Basler Kommentar, Bundesgesetz über Schuldbetreibung und Konkurs, vol. II, 2 e éd. 2010, n o</w:t>
      </w:r>
    </w:p>
    <w:p>
      <w:r>
        <w:rPr>
          <w:b/>
        </w:rPr>
        <w:t>E. 8</w:t>
      </w:r>
    </w:p>
    <w:p>
      <w:r>
        <w:t>ad art. 274 LP ). BGE 145 III 221 S. 223 Le Tribunal fédéral a déjà tranché qu'en cas de poursuites intentées simultanément contre des débiteurs solidaires, la mention du rapport de solidarité n'est nullement nécessaire et que les commandements de payer qui omettent cette indication ne sont pas nuls. Il a considéré qu'une dette solidaire implique, par principe, que chaque débiteur isolément est tenu de la totalité de la prestation ( art. 143 al. 1 CO ), raison pour laquelle, quand le créancier fait valoir sa prétention en même temps contre plusieurs débiteurs solidaires, chacun d'eux doit être poursuivi séparément, comme cela ressort de l' art. 70 al. 2 LP (arrêts P.1034/1986 du 11 septembre 1986 consid. 2, in SJ 1987 p. 11; 7B.175/2004 du 23 septembre 2004 consid. 4; cf. aussi arrêt 4A_226/2016 du 20 octobre 2016 consid. 2.2). Ces considérations peuvent être suivies s'agissant de l'ordonnance de séquestre. On ne voit pas en quoi il faudrait y exiger la mention du rapport de solidarité alors même que l' art. 274 al. 2 ch. 2 LP pose les mêmes principes que l' art. 67 al. 1 ch. 3 LP applicable au contenu du commandement de payer par renvoi de l' art. 69 al. 2 ch. 1 LP (cf. arrêts 5A_197/2012 du 26 septembre 2012 consid. 2.1; B.60/1983 du 14 juin 1983 consid. 3; STOFFEL/CHABLOZ, Voies d'exécution: poursuite pour dettes, exécution de jugements et faillite en droit suisse, 3 e éd. 2016, n. 13 p. 249). Au demeurant, l'ordonnance de séquestre mentionnait, en l'espèce, expressément sous la rubrique "titre et date de la créance" les jugements étrangers des 13 décembre 2010 et 19 septembre 2014. Si besoin était, tant l'Office que le débiteur pouvaient inférer de ces titres la nature de l'obligation pour laquelle ce dernier était recherché (cf. ATF 73 III 100 rendu dans le cas d'une ordonnance de séquestre n'indiquant pas le cas de séquestre). Le fait que les deux séquestres aient été requis et obtenus simultanément pour la même créance contre deux débiteurs différents montrait implicitement que la créancière séquestrante les tenait tous les deux pour ses débiteurs. Que, dans le cas particulier, cette dernière ait précisé à l'Office qu'elle poursuivait solidairement les débiteurs concernés n'est pas déterminant, de telle sorte qu'il importe peu d'examiner si elle l'a fait de sa propre initiative ou à la demande de l'Office, comme le soutient le recourant, qui invoque à cet égard une constatation arbitraire des faits. Dans la mesure où le recourant soutient que les conditions posées dans la jurisprudence publiée aux ATF 115 III 134 ne seraient pas remplies faute pour l'ordonnance de séquestre de mentionner la solidarité, sa critique est dès lors mal fondée. D'ailleurs, dans la cause BGE 145 III 221 S. 224 précitée, la créancière séquestrante n'avait pas du tout invoqué la solidarité passive entre ses deux débiteurs. Le Tribunal fédéral avait toutefois admis, avec l'autorité cantonale de surveillance, qu'elle résultait d'une procédure pendante à l'étranger qui ressortait des pièces du dossier (arrêt B.60/1989 du 14 septembre 1989 consid. 6, non publié aux ATF 115 III 134 ). Il convient cependant de relever que ces considérations sur l'existence de la solidarité ont été rendues avant l'entrée en vigueur de la révision de la LP de 1994 et que, depuis lors, il n'appartient plus à l'office des poursuites ni à l'autorité de surveillance de se prononcer notamment sur la titularité des créances (cf. arrêt 5A_730/2016 du 20 décembre 2016 consid. 3.2.1) et, partant, sur l'existence d'une obligation solidaire.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